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ARCHITECTURAL CONTROL COMMITTEE GUIDELINES</w:t>
      </w:r>
    </w:p>
    <w:p>
      <w:pPr>
        <w:spacing w:before="0" w:after="0" w:line="259"/>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Revised 05/23/2022</w:t>
      </w:r>
    </w:p>
    <w:p>
      <w:pPr>
        <w:spacing w:before="0" w:after="0" w:line="259"/>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following is intended to ratify, reaffirm, and introduce specific guidelines regarding certain</w:t>
      </w:r>
    </w:p>
    <w:p>
      <w:pPr>
        <w:spacing w:before="0" w:after="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requests or violations with respect to the Deer Lake Run Declaration of Covenants, Conditions,</w:t>
      </w:r>
    </w:p>
    <w:p>
      <w:pPr>
        <w:spacing w:before="0" w:after="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and Restrictions.</w:t>
      </w:r>
    </w:p>
    <w:p>
      <w:pPr>
        <w:spacing w:before="0" w:after="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r>
        <w:rPr>
          <w:rFonts w:ascii="Times New Roman" w:hAnsi="Times New Roman" w:cs="Times New Roman" w:eastAsia="Times New Roman"/>
          <w:b/>
          <w:color w:val="auto"/>
          <w:spacing w:val="0"/>
          <w:position w:val="0"/>
          <w:sz w:val="22"/>
          <w:shd w:fill="auto" w:val="clear"/>
        </w:rPr>
        <w:t xml:space="preserve"> OUTBUILDINGS (SHEDS) STANDARDS </w:t>
      </w:r>
      <w:r>
        <w:rPr>
          <w:rFonts w:ascii="Times New Roman" w:hAnsi="Times New Roman" w:cs="Times New Roman" w:eastAsia="Times New Roman"/>
          <w:b/>
          <w:color w:val="auto"/>
          <w:spacing w:val="0"/>
          <w:position w:val="0"/>
          <w:sz w:val="22"/>
          <w:shd w:fill="auto" w:val="clear"/>
        </w:rPr>
        <w:t xml:space="preserve">–</w:t>
      </w:r>
    </w:p>
    <w:p>
      <w:pPr>
        <w:numPr>
          <w:ilvl w:val="0"/>
          <w:numId w:val="3"/>
        </w:numPr>
        <w:spacing w:before="0" w:after="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Size shall be no larger than 12’ x 16’ or 192 square feet</w:t>
      </w:r>
    </w:p>
    <w:p>
      <w:pPr>
        <w:numPr>
          <w:ilvl w:val="0"/>
          <w:numId w:val="3"/>
        </w:numPr>
        <w:spacing w:before="0" w:after="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Construction shall be of block or wood frame.</w:t>
      </w:r>
    </w:p>
    <w:p>
      <w:pPr>
        <w:numPr>
          <w:ilvl w:val="0"/>
          <w:numId w:val="3"/>
        </w:numPr>
        <w:spacing w:before="0" w:after="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Exterior siding shall be made of wood, stucco, or cementitious product and painted</w:t>
      </w:r>
    </w:p>
    <w:p>
      <w:pPr>
        <w:spacing w:before="0" w:after="0" w:line="259"/>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same color as the main house.</w:t>
      </w:r>
    </w:p>
    <w:p>
      <w:pPr>
        <w:numPr>
          <w:ilvl w:val="0"/>
          <w:numId w:val="5"/>
        </w:numPr>
        <w:spacing w:before="0" w:after="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Roof shall be shingled the same color and style as the main house.</w:t>
      </w:r>
    </w:p>
    <w:p>
      <w:pPr>
        <w:numPr>
          <w:ilvl w:val="0"/>
          <w:numId w:val="5"/>
        </w:numPr>
        <w:spacing w:before="0" w:after="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Only one (1) outbuilding shall be approved per residential lot.</w:t>
      </w:r>
    </w:p>
    <w:p>
      <w:pPr>
        <w:numPr>
          <w:ilvl w:val="0"/>
          <w:numId w:val="5"/>
        </w:numPr>
        <w:spacing w:before="0" w:after="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metal or vinyl products shall be approved as outbuildings.</w:t>
      </w:r>
    </w:p>
    <w:p>
      <w:pPr>
        <w:numPr>
          <w:ilvl w:val="0"/>
          <w:numId w:val="5"/>
        </w:numPr>
        <w:spacing w:before="0" w:after="0" w:line="259"/>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Placing the outbuilding on a slab shall be optional if the homeowner desires and</w:t>
      </w:r>
    </w:p>
    <w:p>
      <w:pPr>
        <w:spacing w:before="0" w:after="0" w:line="259"/>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included in the ACC request if desired.</w:t>
      </w:r>
    </w:p>
    <w:p>
      <w:pPr>
        <w:spacing w:before="0" w:after="0" w:line="259"/>
        <w:ind w:right="0" w:left="720" w:firstLine="0"/>
        <w:jc w:val="left"/>
        <w:rPr>
          <w:rFonts w:ascii="Times New Roman" w:hAnsi="Times New Roman" w:cs="Times New Roman" w:eastAsia="Times New Roman"/>
          <w:color w:val="auto"/>
          <w:spacing w:val="0"/>
          <w:position w:val="0"/>
          <w:sz w:val="22"/>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59"/>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w:t>
      </w:r>
      <w:r>
        <w:rPr>
          <w:rFonts w:ascii="Times New Roman" w:hAnsi="Times New Roman" w:cs="Times New Roman" w:eastAsia="Times New Roman"/>
          <w:b/>
          <w:color w:val="auto"/>
          <w:spacing w:val="0"/>
          <w:position w:val="0"/>
          <w:sz w:val="22"/>
          <w:shd w:fill="auto" w:val="clear"/>
        </w:rPr>
        <w:t xml:space="preserve">FORM SUBMISSION </w:t>
      </w:r>
      <w:r>
        <w:rPr>
          <w:rFonts w:ascii="Times New Roman" w:hAnsi="Times New Roman" w:cs="Times New Roman" w:eastAsia="Times New Roman"/>
          <w:b/>
          <w:color w:val="auto"/>
          <w:spacing w:val="0"/>
          <w:position w:val="0"/>
          <w:sz w:val="22"/>
          <w:shd w:fill="auto" w:val="clear"/>
        </w:rPr>
        <w:t xml:space="preserve">–</w:t>
      </w:r>
    </w:p>
    <w:p>
      <w:pPr>
        <w:spacing w:before="0" w:after="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order to receive, review and process forms properly, as well as prepare a meeting agenda, there is a new blackout period. ACC forms will not be marked as received four (4) calendar days prior to any scheduled ACC meeting. Forms will also not be marked as received seven (7) calendar days after a meeting. </w:t>
      </w:r>
    </w:p>
    <w:p>
      <w:pPr>
        <w:spacing w:before="0" w:after="0" w:line="259"/>
        <w:ind w:right="0" w:left="72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